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F5E" w:rsidRDefault="00311F5E" w:rsidP="00311F5E">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311F5E" w:rsidRDefault="00311F5E" w:rsidP="00311F5E">
      <w:pPr>
        <w:tabs>
          <w:tab w:val="left" w:pos="9356"/>
        </w:tabs>
        <w:spacing w:before="120" w:after="120"/>
        <w:ind w:right="332"/>
        <w:jc w:val="right"/>
        <w:rPr>
          <w:i/>
          <w:sz w:val="20"/>
          <w:szCs w:val="20"/>
        </w:rPr>
      </w:pPr>
      <w:r>
        <w:rPr>
          <w:i/>
          <w:sz w:val="20"/>
          <w:szCs w:val="20"/>
        </w:rPr>
        <w:t>_____________________/А.В. Булгаков/</w:t>
      </w:r>
    </w:p>
    <w:p w:rsidR="00311F5E" w:rsidRDefault="00311F5E" w:rsidP="00311F5E">
      <w:pPr>
        <w:spacing w:after="120" w:line="276" w:lineRule="auto"/>
        <w:ind w:left="6096"/>
        <w:rPr>
          <w:i/>
          <w:sz w:val="20"/>
          <w:szCs w:val="20"/>
        </w:rPr>
      </w:pPr>
      <w:r>
        <w:rPr>
          <w:i/>
          <w:sz w:val="20"/>
          <w:szCs w:val="20"/>
        </w:rPr>
        <w:t>Председатель Закупочной комиссии</w:t>
      </w:r>
    </w:p>
    <w:p w:rsidR="00311F5E" w:rsidRDefault="00311F5E" w:rsidP="00311F5E">
      <w:pPr>
        <w:spacing w:after="120" w:line="360" w:lineRule="auto"/>
        <w:ind w:firstLine="6095"/>
        <w:rPr>
          <w:i/>
          <w:sz w:val="20"/>
          <w:szCs w:val="20"/>
        </w:rPr>
      </w:pPr>
      <w:r>
        <w:rPr>
          <w:i/>
          <w:sz w:val="20"/>
          <w:szCs w:val="20"/>
        </w:rPr>
        <w:t>«</w:t>
      </w:r>
      <w:r>
        <w:rPr>
          <w:i/>
          <w:sz w:val="20"/>
          <w:szCs w:val="20"/>
          <w:lang w:val="en-US"/>
        </w:rPr>
        <w:t>06</w:t>
      </w:r>
      <w:r>
        <w:rPr>
          <w:i/>
          <w:sz w:val="20"/>
          <w:szCs w:val="20"/>
        </w:rPr>
        <w:t>» февраля 2017 года</w:t>
      </w:r>
    </w:p>
    <w:p w:rsidR="00311F5E" w:rsidRDefault="00311F5E" w:rsidP="00311F5E">
      <w:pPr>
        <w:spacing w:before="240" w:after="120"/>
        <w:ind w:left="6095"/>
        <w:rPr>
          <w:i/>
          <w:kern w:val="36"/>
          <w:sz w:val="20"/>
          <w:szCs w:val="20"/>
        </w:rPr>
      </w:pPr>
      <w:r>
        <w:rPr>
          <w:i/>
          <w:kern w:val="36"/>
          <w:sz w:val="20"/>
          <w:szCs w:val="20"/>
        </w:rPr>
        <w:t>Секретарь Закупочной комиссии</w:t>
      </w:r>
    </w:p>
    <w:p w:rsidR="00311F5E" w:rsidRDefault="00311F5E" w:rsidP="00311F5E">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1F08B9" w:rsidRPr="009F0B4A" w:rsidRDefault="00002855" w:rsidP="006421FA">
      <w:pPr>
        <w:jc w:val="center"/>
        <w:rPr>
          <w:color w:val="4F81BD" w:themeColor="accent1"/>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311F5E">
        <w:rPr>
          <w:b/>
        </w:rPr>
        <w:t xml:space="preserve">поставку </w:t>
      </w:r>
      <w:r w:rsidR="00311F5E" w:rsidRPr="00311F5E">
        <w:rPr>
          <w:b/>
        </w:rPr>
        <w:t>канцелярски</w:t>
      </w:r>
      <w:r w:rsidR="00311F5E">
        <w:rPr>
          <w:b/>
        </w:rPr>
        <w:t>х товаров</w:t>
      </w:r>
    </w:p>
    <w:p w:rsidR="00377AB2" w:rsidRPr="00311F5E" w:rsidRDefault="009C6067" w:rsidP="00377AB2">
      <w:pPr>
        <w:pStyle w:val="a3"/>
        <w:numPr>
          <w:ilvl w:val="0"/>
          <w:numId w:val="0"/>
        </w:numPr>
        <w:spacing w:before="240"/>
        <w:jc w:val="center"/>
        <w:rPr>
          <w:b/>
          <w:sz w:val="24"/>
        </w:rPr>
      </w:pPr>
      <w:r w:rsidRPr="00311F5E">
        <w:rPr>
          <w:b/>
          <w:sz w:val="24"/>
        </w:rPr>
        <w:t>д</w:t>
      </w:r>
      <w:r w:rsidR="00A459FF" w:rsidRPr="00311F5E">
        <w:rPr>
          <w:b/>
          <w:sz w:val="24"/>
        </w:rPr>
        <w:t>ля</w:t>
      </w:r>
      <w:r w:rsidRPr="00311F5E">
        <w:rPr>
          <w:b/>
          <w:sz w:val="24"/>
        </w:rPr>
        <w:t xml:space="preserve"> </w:t>
      </w:r>
      <w:r w:rsidR="00597AD3" w:rsidRPr="00311F5E">
        <w:rPr>
          <w:b/>
          <w:sz w:val="24"/>
        </w:rPr>
        <w:t xml:space="preserve">нужд </w:t>
      </w:r>
      <w:r w:rsidR="00311F5E">
        <w:rPr>
          <w:b/>
          <w:sz w:val="24"/>
        </w:rPr>
        <w:t xml:space="preserve">ПАО </w:t>
      </w:r>
      <w:r w:rsidR="00311F5E" w:rsidRPr="00311F5E">
        <w:rPr>
          <w:b/>
          <w:sz w:val="24"/>
        </w:rPr>
        <w:t>«</w:t>
      </w:r>
      <w:proofErr w:type="spellStart"/>
      <w:r w:rsidR="00311F5E" w:rsidRPr="00311F5E">
        <w:rPr>
          <w:b/>
          <w:sz w:val="24"/>
        </w:rPr>
        <w:t>Томскэнергосбыт</w:t>
      </w:r>
      <w:proofErr w:type="spellEnd"/>
      <w:r w:rsidR="00311F5E" w:rsidRPr="00311F5E">
        <w:rPr>
          <w:b/>
          <w:sz w:val="24"/>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11F5E">
      <w:pPr>
        <w:rPr>
          <w:sz w:val="20"/>
          <w:szCs w:val="20"/>
          <w:lang w:val="en-US"/>
        </w:rPr>
      </w:pPr>
    </w:p>
    <w:p w:rsidR="00311F5E" w:rsidRDefault="00311F5E" w:rsidP="00311F5E">
      <w:pPr>
        <w:rPr>
          <w:sz w:val="20"/>
          <w:szCs w:val="20"/>
          <w:lang w:val="en-US"/>
        </w:rPr>
      </w:pPr>
    </w:p>
    <w:p w:rsidR="00311F5E" w:rsidRDefault="00311F5E" w:rsidP="00311F5E">
      <w:pPr>
        <w:rPr>
          <w:sz w:val="20"/>
          <w:szCs w:val="20"/>
          <w:lang w:val="en-US"/>
        </w:rPr>
      </w:pPr>
    </w:p>
    <w:p w:rsidR="00311F5E" w:rsidRDefault="00311F5E" w:rsidP="00311F5E">
      <w:pPr>
        <w:rPr>
          <w:sz w:val="20"/>
          <w:szCs w:val="20"/>
          <w:lang w:val="en-US"/>
        </w:rPr>
      </w:pPr>
    </w:p>
    <w:p w:rsidR="00311F5E" w:rsidRPr="00311F5E" w:rsidRDefault="00311F5E" w:rsidP="00311F5E">
      <w:pPr>
        <w:rPr>
          <w:sz w:val="20"/>
          <w:szCs w:val="20"/>
          <w:lang w:val="en-US"/>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bookmarkEnd w:id="2"/>
    <w:bookmarkEnd w:id="3"/>
    <w:bookmarkEnd w:id="4"/>
    <w:bookmarkEnd w:id="5"/>
    <w:bookmarkEnd w:id="6"/>
    <w:bookmarkEnd w:id="7"/>
    <w:p w:rsidR="00311F5E" w:rsidRPr="005E2246" w:rsidRDefault="00311F5E" w:rsidP="00311F5E">
      <w:pPr>
        <w:jc w:val="center"/>
        <w:rPr>
          <w:sz w:val="20"/>
          <w:szCs w:val="20"/>
        </w:rPr>
      </w:pPr>
      <w:r>
        <w:rPr>
          <w:sz w:val="20"/>
          <w:szCs w:val="20"/>
        </w:rPr>
        <w:t>Томск</w:t>
      </w:r>
    </w:p>
    <w:p w:rsidR="00311F5E" w:rsidRDefault="00311F5E" w:rsidP="00311F5E">
      <w:pPr>
        <w:jc w:val="center"/>
        <w:rPr>
          <w:sz w:val="22"/>
          <w:szCs w:val="22"/>
        </w:rPr>
      </w:pPr>
      <w:r w:rsidRPr="005E2246">
        <w:rPr>
          <w:sz w:val="20"/>
          <w:szCs w:val="20"/>
        </w:rPr>
        <w:t>201</w:t>
      </w:r>
      <w:r>
        <w:rPr>
          <w:sz w:val="20"/>
          <w:szCs w:val="20"/>
        </w:rPr>
        <w:t>7</w:t>
      </w:r>
      <w:r w:rsidRPr="005E2246">
        <w:rPr>
          <w:sz w:val="20"/>
          <w:szCs w:val="20"/>
        </w:rPr>
        <w:t>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8</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11</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29</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30</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50</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51</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52</w:t>
            </w:r>
            <w:r w:rsidR="003E7847" w:rsidRPr="00060712">
              <w:rPr>
                <w:noProof/>
                <w:webHidden/>
                <w:sz w:val="28"/>
                <w:szCs w:val="28"/>
              </w:rPr>
              <w:fldChar w:fldCharType="end"/>
            </w:r>
          </w:hyperlink>
        </w:p>
        <w:p w:rsidR="003E7847" w:rsidRPr="00060712" w:rsidRDefault="00311F5E"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574644">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sidR="00735868" w:rsidRPr="000E5C47">
        <w:t>ПАО «</w:t>
      </w:r>
      <w:proofErr w:type="spellStart"/>
      <w:r w:rsidR="00735868" w:rsidRPr="000E5C47">
        <w:t>Томскэнергосбыт</w:t>
      </w:r>
      <w:proofErr w:type="spellEnd"/>
      <w:r w:rsidR="00735868" w:rsidRPr="000E5C47">
        <w:t>»</w:t>
      </w:r>
      <w:r w:rsidRPr="00205557">
        <w:t xml:space="preserve">, утвержденное решением Совета директоров </w:t>
      </w:r>
      <w:r w:rsidR="00735868" w:rsidRPr="000E5C47">
        <w:t>от 31.10.2016 г. № 205</w:t>
      </w:r>
      <w:r w:rsidR="00735868" w:rsidRPr="00F247F2">
        <w:t xml:space="preserve"> </w:t>
      </w:r>
      <w:r w:rsidR="00807CD1" w:rsidRPr="00F247F2">
        <w:t>(далее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735868" w:rsidRDefault="00735868" w:rsidP="00735868">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735868" w:rsidRDefault="00735868" w:rsidP="00735868">
      <w:pPr>
        <w:widowControl/>
        <w:tabs>
          <w:tab w:val="num" w:pos="567"/>
          <w:tab w:val="left" w:pos="1134"/>
        </w:tabs>
        <w:adjustRightInd/>
        <w:ind w:firstLine="709"/>
        <w:jc w:val="both"/>
      </w:pPr>
      <w:r>
        <w:t>Место нахождения: 634034, Россия, г. Томск, ул. Котовского, д. 19</w:t>
      </w:r>
    </w:p>
    <w:p w:rsidR="00735868" w:rsidRDefault="00735868" w:rsidP="00735868">
      <w:pPr>
        <w:widowControl/>
        <w:tabs>
          <w:tab w:val="num" w:pos="567"/>
          <w:tab w:val="left" w:pos="1134"/>
        </w:tabs>
        <w:adjustRightInd/>
        <w:ind w:firstLine="709"/>
        <w:jc w:val="both"/>
      </w:pPr>
      <w:r>
        <w:t>Почтовый адрес: 634034, Россия, г. Томск, ул. Котовского, д. 19</w:t>
      </w:r>
    </w:p>
    <w:p w:rsidR="00735868" w:rsidRDefault="00735868" w:rsidP="00735868">
      <w:pPr>
        <w:widowControl/>
        <w:tabs>
          <w:tab w:val="num" w:pos="567"/>
          <w:tab w:val="left" w:pos="1134"/>
        </w:tabs>
        <w:adjustRightInd/>
        <w:ind w:firstLine="709"/>
        <w:jc w:val="both"/>
      </w:pPr>
      <w:r>
        <w:t>Адрес электронной почты: secretar@ensb.tomsk.ru</w:t>
      </w:r>
    </w:p>
    <w:p w:rsidR="00735868" w:rsidRDefault="00735868" w:rsidP="00735868">
      <w:pPr>
        <w:widowControl/>
        <w:tabs>
          <w:tab w:val="num" w:pos="567"/>
          <w:tab w:val="left" w:pos="1134"/>
        </w:tabs>
        <w:adjustRightInd/>
        <w:ind w:firstLine="709"/>
        <w:jc w:val="both"/>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735868" w:rsidRDefault="00735868" w:rsidP="00735868">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735868" w:rsidRDefault="00735868" w:rsidP="00735868">
      <w:pPr>
        <w:widowControl/>
        <w:tabs>
          <w:tab w:val="num" w:pos="567"/>
          <w:tab w:val="left" w:pos="1134"/>
        </w:tabs>
        <w:adjustRightInd/>
        <w:ind w:left="709"/>
        <w:jc w:val="both"/>
      </w:pPr>
      <w:r>
        <w:t>Место нахождения: 634034, Россия, г. Томск, ул. Котовского, д. 19</w:t>
      </w:r>
    </w:p>
    <w:p w:rsidR="00735868" w:rsidRDefault="00735868" w:rsidP="00735868">
      <w:pPr>
        <w:widowControl/>
        <w:tabs>
          <w:tab w:val="num" w:pos="567"/>
          <w:tab w:val="left" w:pos="1134"/>
        </w:tabs>
        <w:adjustRightInd/>
        <w:ind w:left="709"/>
        <w:jc w:val="both"/>
      </w:pPr>
      <w:r>
        <w:t>Почтовый адрес: 634034, Россия, г. Томск, ул. Котовского, д. 19</w:t>
      </w:r>
    </w:p>
    <w:p w:rsidR="00735868" w:rsidRDefault="00735868" w:rsidP="00735868">
      <w:pPr>
        <w:widowControl/>
        <w:tabs>
          <w:tab w:val="num" w:pos="567"/>
          <w:tab w:val="left" w:pos="1134"/>
        </w:tabs>
        <w:adjustRightInd/>
        <w:ind w:left="709"/>
        <w:jc w:val="both"/>
      </w:pPr>
      <w:r>
        <w:t>Контактное лицо: Некрасов Андрей Викторович</w:t>
      </w:r>
    </w:p>
    <w:p w:rsidR="00735868" w:rsidRDefault="00735868" w:rsidP="00735868">
      <w:pPr>
        <w:widowControl/>
        <w:tabs>
          <w:tab w:val="num" w:pos="567"/>
          <w:tab w:val="left" w:pos="1134"/>
        </w:tabs>
        <w:adjustRightInd/>
        <w:ind w:left="709"/>
        <w:jc w:val="both"/>
      </w:pPr>
      <w:r>
        <w:t>Адрес электронной почты: nekrasov@ensb.tomsk.ru</w:t>
      </w:r>
    </w:p>
    <w:p w:rsidR="00735868" w:rsidRPr="00AF33C1" w:rsidRDefault="00735868" w:rsidP="00735868">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DD5246" w:rsidRDefault="00926237" w:rsidP="00735868">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735868">
        <w:rPr>
          <w:b/>
        </w:rPr>
        <w:t xml:space="preserve"> </w:t>
      </w:r>
      <w:r w:rsidR="00735868" w:rsidRPr="00735868">
        <w:t>Канцелярские товары</w:t>
      </w:r>
      <w:r w:rsidR="00735868">
        <w:t>.</w:t>
      </w:r>
    </w:p>
    <w:p w:rsidR="00735868" w:rsidRDefault="00735868" w:rsidP="00735868">
      <w:pPr>
        <w:widowControl/>
        <w:tabs>
          <w:tab w:val="num" w:pos="567"/>
          <w:tab w:val="left" w:pos="1134"/>
        </w:tabs>
        <w:adjustRightInd/>
        <w:jc w:val="both"/>
        <w:rPr>
          <w:b/>
        </w:rPr>
      </w:pPr>
    </w:p>
    <w:p w:rsidR="00735868" w:rsidRDefault="00735868" w:rsidP="00735868">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B53CAB" w:rsidRDefault="00B53CAB" w:rsidP="00B53CAB">
      <w:pPr>
        <w:widowControl/>
        <w:tabs>
          <w:tab w:val="num" w:pos="567"/>
          <w:tab w:val="left" w:pos="1134"/>
        </w:tabs>
        <w:adjustRightInd/>
        <w:ind w:firstLine="709"/>
        <w:jc w:val="both"/>
      </w:pPr>
    </w:p>
    <w:p w:rsidR="008548E9" w:rsidRDefault="00926237" w:rsidP="00735868">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735868" w:rsidRPr="00C468F5">
        <w:rPr>
          <w:b/>
        </w:rPr>
        <w:t xml:space="preserve">Сроки </w:t>
      </w:r>
      <w:r w:rsidR="00735868" w:rsidRPr="000E5C47">
        <w:rPr>
          <w:b/>
        </w:rPr>
        <w:t>поставки товаров</w:t>
      </w:r>
      <w:r w:rsidR="00735868" w:rsidRPr="00EF3BB6">
        <w:rPr>
          <w:b/>
        </w:rPr>
        <w:t>:</w:t>
      </w:r>
      <w:r w:rsidR="00735868" w:rsidRPr="000E5C47">
        <w:rPr>
          <w:b/>
        </w:rPr>
        <w:t xml:space="preserve"> </w:t>
      </w:r>
      <w:r w:rsidR="00735868" w:rsidRPr="004A09F4">
        <w:t>в соответствии с разделом 7 «Техническая часть» Закупочной документации;</w:t>
      </w:r>
    </w:p>
    <w:p w:rsidR="00735868" w:rsidRDefault="00735868" w:rsidP="00735868">
      <w:pPr>
        <w:widowControl/>
        <w:tabs>
          <w:tab w:val="num" w:pos="426"/>
        </w:tabs>
        <w:autoSpaceDE/>
        <w:autoSpaceDN/>
        <w:adjustRightInd/>
        <w:contextualSpacing/>
        <w:jc w:val="both"/>
        <w:outlineLvl w:val="0"/>
      </w:pPr>
    </w:p>
    <w:p w:rsidR="00D352D6" w:rsidRDefault="00926237" w:rsidP="00735868">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735868" w:rsidRPr="008F3A41">
        <w:rPr>
          <w:b/>
        </w:rPr>
        <w:t>Место</w:t>
      </w:r>
      <w:r w:rsidR="00735868">
        <w:t xml:space="preserve"> </w:t>
      </w:r>
      <w:r w:rsidR="00735868" w:rsidRPr="003358F6">
        <w:rPr>
          <w:b/>
        </w:rPr>
        <w:t>поставки товара</w:t>
      </w:r>
      <w:r w:rsidR="00735868" w:rsidRPr="001179C8">
        <w:t>:</w:t>
      </w:r>
      <w:r w:rsidR="00735868">
        <w:t xml:space="preserve"> </w:t>
      </w:r>
      <w:r w:rsidR="00735868" w:rsidRPr="004A09F4">
        <w:t>в соответствии с разделом 7 «Техническая часть» Закупочной документации;</w:t>
      </w:r>
    </w:p>
    <w:p w:rsidR="00735868" w:rsidRPr="00AF33C1" w:rsidRDefault="00735868" w:rsidP="00735868">
      <w:pPr>
        <w:widowControl/>
        <w:tabs>
          <w:tab w:val="num" w:pos="426"/>
        </w:tabs>
        <w:autoSpaceDE/>
        <w:autoSpaceDN/>
        <w:adjustRightInd/>
        <w:contextualSpacing/>
        <w:jc w:val="both"/>
        <w:outlineLvl w:val="0"/>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735868" w:rsidRPr="00735868">
        <w:t xml:space="preserve"> 1 014 997,99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735868">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r w:rsidR="00735868" w:rsidRPr="003358F6">
        <w:t>com.roseltorg.ru</w:t>
      </w:r>
      <w:r>
        <w:rPr>
          <w:color w:val="548DD4"/>
        </w:rPr>
        <w:t xml:space="preserve">, </w:t>
      </w:r>
      <w:r>
        <w:t xml:space="preserve">а так же на сайте организатора закупки </w:t>
      </w:r>
      <w:r w:rsidR="00735868" w:rsidRPr="003358F6">
        <w:t>www.ensb.tomsk.ru</w:t>
      </w:r>
      <w:r w:rsidR="00735868">
        <w:t>.</w:t>
      </w:r>
    </w:p>
    <w:p w:rsidR="00D74D50" w:rsidRPr="00EA2892" w:rsidRDefault="00D74D50" w:rsidP="00D74D5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00735868">
        <w:rPr>
          <w:color w:val="548DD4" w:themeColor="text2" w:themeTint="99"/>
        </w:rPr>
        <w:t xml:space="preserve"> с «06</w:t>
      </w:r>
      <w:r w:rsidRPr="002C0D62">
        <w:rPr>
          <w:color w:val="548DD4" w:themeColor="text2" w:themeTint="99"/>
        </w:rPr>
        <w:t xml:space="preserve">» </w:t>
      </w:r>
      <w:r w:rsidR="00735868">
        <w:rPr>
          <w:color w:val="548DD4" w:themeColor="text2" w:themeTint="99"/>
        </w:rPr>
        <w:t>февраля</w:t>
      </w:r>
      <w:r w:rsidRPr="002C0D62">
        <w:rPr>
          <w:color w:val="548DD4" w:themeColor="text2" w:themeTint="99"/>
        </w:rPr>
        <w:t xml:space="preserve"> 201</w:t>
      </w:r>
      <w:r w:rsidR="008A1083">
        <w:rPr>
          <w:color w:val="548DD4" w:themeColor="text2" w:themeTint="99"/>
        </w:rPr>
        <w:t>7</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8A1083">
        <w:rPr>
          <w:color w:val="548DD4" w:themeColor="text2" w:themeTint="99"/>
        </w:rPr>
        <w:t xml:space="preserve"> </w:t>
      </w:r>
      <w:r w:rsidRPr="002C0D62">
        <w:rPr>
          <w:color w:val="548DD4" w:themeColor="text2" w:themeTint="99"/>
        </w:rPr>
        <w:t>до «</w:t>
      </w:r>
      <w:r w:rsidR="008A1083">
        <w:rPr>
          <w:color w:val="548DD4" w:themeColor="text2" w:themeTint="99"/>
        </w:rPr>
        <w:t>13</w:t>
      </w:r>
      <w:r w:rsidRPr="002C0D62">
        <w:rPr>
          <w:color w:val="548DD4" w:themeColor="text2" w:themeTint="99"/>
        </w:rPr>
        <w:t xml:space="preserve">» </w:t>
      </w:r>
      <w:r w:rsidR="008A1083">
        <w:rPr>
          <w:color w:val="548DD4" w:themeColor="text2" w:themeTint="99"/>
        </w:rPr>
        <w:t>февраля</w:t>
      </w:r>
      <w:r w:rsidRPr="002C0D62">
        <w:rPr>
          <w:color w:val="548DD4" w:themeColor="text2" w:themeTint="99"/>
        </w:rPr>
        <w:t xml:space="preserve"> 201</w:t>
      </w:r>
      <w:r w:rsidR="008A1083">
        <w:rPr>
          <w:color w:val="548DD4" w:themeColor="text2" w:themeTint="99"/>
        </w:rPr>
        <w:t>7</w:t>
      </w:r>
      <w:r w:rsidRPr="002C0D6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8A1083">
        <w:rPr>
          <w:color w:val="548DD4"/>
        </w:rPr>
        <w:t>09</w:t>
      </w:r>
      <w:r w:rsidR="00AF33C1" w:rsidRPr="00DE4371">
        <w:rPr>
          <w:color w:val="548DD4"/>
        </w:rPr>
        <w:t>:</w:t>
      </w:r>
      <w:r w:rsidR="008A1083">
        <w:rPr>
          <w:color w:val="548DD4"/>
        </w:rPr>
        <w:t>00</w:t>
      </w:r>
      <w:r w:rsidR="00AF33C1" w:rsidRPr="00DE4371">
        <w:rPr>
          <w:color w:val="548DD4"/>
        </w:rPr>
        <w:t xml:space="preserve"> (по московскому времени) «</w:t>
      </w:r>
      <w:r w:rsidR="008A1083">
        <w:rPr>
          <w:color w:val="548DD4"/>
        </w:rPr>
        <w:t>17</w:t>
      </w:r>
      <w:r w:rsidR="00AF33C1" w:rsidRPr="00DE4371">
        <w:rPr>
          <w:color w:val="548DD4"/>
        </w:rPr>
        <w:t xml:space="preserve">» </w:t>
      </w:r>
      <w:r w:rsidR="008A1083">
        <w:rPr>
          <w:color w:val="548DD4"/>
        </w:rPr>
        <w:t>февраля</w:t>
      </w:r>
      <w:r w:rsidR="00AF33C1" w:rsidRPr="00DE4371">
        <w:rPr>
          <w:color w:val="548DD4"/>
        </w:rPr>
        <w:t xml:space="preserve"> 201</w:t>
      </w:r>
      <w:r w:rsidR="008A1083">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8A1083">
        <w:rPr>
          <w:color w:val="548DD4"/>
        </w:rPr>
        <w:t>10</w:t>
      </w:r>
      <w:r w:rsidRPr="00DE4371">
        <w:rPr>
          <w:color w:val="548DD4"/>
        </w:rPr>
        <w:t>:</w:t>
      </w:r>
      <w:r w:rsidR="008A1083">
        <w:rPr>
          <w:color w:val="548DD4"/>
        </w:rPr>
        <w:t>00</w:t>
      </w:r>
      <w:r w:rsidRPr="00DE4371">
        <w:rPr>
          <w:color w:val="548DD4"/>
        </w:rPr>
        <w:t xml:space="preserve"> (по московскому времени) «</w:t>
      </w:r>
      <w:r w:rsidR="008A1083">
        <w:rPr>
          <w:color w:val="548DD4"/>
        </w:rPr>
        <w:t>17</w:t>
      </w:r>
      <w:r w:rsidRPr="00DE4371">
        <w:rPr>
          <w:color w:val="548DD4"/>
        </w:rPr>
        <w:t xml:space="preserve">» </w:t>
      </w:r>
      <w:r w:rsidR="008A1083">
        <w:rPr>
          <w:color w:val="548DD4"/>
        </w:rPr>
        <w:t>февраля</w:t>
      </w:r>
      <w:r w:rsidRPr="00DE4371">
        <w:rPr>
          <w:color w:val="548DD4"/>
        </w:rPr>
        <w:t xml:space="preserve"> 201</w:t>
      </w:r>
      <w:r w:rsidR="008A1083">
        <w:rPr>
          <w:color w:val="548DD4"/>
        </w:rPr>
        <w:t>7</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8A1083">
        <w:rPr>
          <w:color w:val="548DD4"/>
        </w:rPr>
        <w:t>17</w:t>
      </w:r>
      <w:r w:rsidR="00AF33C1" w:rsidRPr="00DE4371">
        <w:rPr>
          <w:color w:val="548DD4"/>
        </w:rPr>
        <w:t>» </w:t>
      </w:r>
      <w:r w:rsidR="008A1083">
        <w:rPr>
          <w:color w:val="548DD4"/>
        </w:rPr>
        <w:t>марта</w:t>
      </w:r>
      <w:r w:rsidR="00AF33C1" w:rsidRPr="00DE4371">
        <w:rPr>
          <w:color w:val="548DD4"/>
        </w:rPr>
        <w:t xml:space="preserve"> 201</w:t>
      </w:r>
      <w:r w:rsidR="008A1083">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3318D7" w:rsidRPr="008A1083" w:rsidRDefault="00926237" w:rsidP="008A1083">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8A1083">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w:t>
      </w:r>
      <w:r w:rsidRPr="00C23392">
        <w:lastRenderedPageBreak/>
        <w:t>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3E43A2" w:rsidRPr="00926237">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008A1083">
        <w:rPr>
          <w:color w:val="548DD4" w:themeColor="text2" w:themeTint="99"/>
        </w:rPr>
        <w:t>возможно</w:t>
      </w:r>
      <w:r w:rsidRPr="00966154">
        <w:rPr>
          <w:color w:val="548DD4" w:themeColor="text2" w:themeTint="99"/>
        </w:rPr>
        <w:t>.</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8173CB">
      <w:pPr>
        <w:pStyle w:val="af8"/>
        <w:numPr>
          <w:ilvl w:val="1"/>
          <w:numId w:val="41"/>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8173CB">
      <w:pPr>
        <w:pStyle w:val="af8"/>
        <w:numPr>
          <w:ilvl w:val="2"/>
          <w:numId w:val="41"/>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8173CB">
      <w:pPr>
        <w:pStyle w:val="af8"/>
        <w:numPr>
          <w:ilvl w:val="2"/>
          <w:numId w:val="41"/>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4A6AA0">
        <w:t>Томска</w:t>
      </w:r>
      <w:r w:rsidR="00A33BE5">
        <w:t>.</w:t>
      </w:r>
    </w:p>
    <w:bookmarkEnd w:id="132"/>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w:t>
      </w:r>
      <w:r w:rsidR="005B5145" w:rsidRPr="002E2BE8">
        <w:lastRenderedPageBreak/>
        <w:t xml:space="preserve">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8173CB">
      <w:pPr>
        <w:pStyle w:val="af8"/>
        <w:numPr>
          <w:ilvl w:val="2"/>
          <w:numId w:val="43"/>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 xml:space="preserve">(в случае их привлечения), требованиям, установленным в настоящей закупочной </w:t>
      </w:r>
      <w:r w:rsidRPr="0082605C">
        <w:rPr>
          <w:color w:val="000000"/>
        </w:rPr>
        <w:lastRenderedPageBreak/>
        <w:t>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 xml:space="preserve">заполнение участником графика оплаты с нарушением формы и/или инструкции, а так же в случае не заполнения обязательных к заполнению </w:t>
      </w:r>
      <w:r w:rsidRPr="00035E3B">
        <w:rPr>
          <w:color w:val="000000"/>
        </w:rPr>
        <w:lastRenderedPageBreak/>
        <w:t>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 xml:space="preserve">в случае если, очевидные арифметические и грамматические ошибки влияют на существо заявки, с письменного согласия Потенциального </w:t>
      </w:r>
      <w:r>
        <w:lastRenderedPageBreak/>
        <w:t>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xml:space="preserve">,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w:t>
      </w:r>
      <w:r w:rsidRPr="00AA429B">
        <w:lastRenderedPageBreak/>
        <w:t>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3"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3"/>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 xml:space="preserve">подписывается </w:t>
      </w:r>
      <w:r w:rsidRPr="00DC119C">
        <w:lastRenderedPageBreak/>
        <w:t>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xml:space="preserve">, остается действующей </w:t>
      </w:r>
      <w:r>
        <w:lastRenderedPageBreak/>
        <w:t>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roofErr w:type="gramEnd"/>
    </w:p>
    <w:bookmarkEnd w:id="216"/>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w:t>
      </w:r>
      <w:r>
        <w:lastRenderedPageBreak/>
        <w:t xml:space="preserve">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lastRenderedPageBreak/>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0" w:name="_Toc422210009"/>
      <w:bookmarkStart w:id="221" w:name="_Toc422226829"/>
      <w:bookmarkStart w:id="222"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w:t>
      </w:r>
      <w:r w:rsidRPr="00605888">
        <w:rPr>
          <w:color w:val="000000"/>
        </w:rPr>
        <w:lastRenderedPageBreak/>
        <w:t>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lastRenderedPageBreak/>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8173CB">
      <w:pPr>
        <w:pStyle w:val="af8"/>
        <w:numPr>
          <w:ilvl w:val="2"/>
          <w:numId w:val="46"/>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8173CB">
      <w:pPr>
        <w:pStyle w:val="af8"/>
        <w:numPr>
          <w:ilvl w:val="2"/>
          <w:numId w:val="46"/>
        </w:numPr>
        <w:ind w:left="1134" w:hanging="1134"/>
        <w:contextualSpacing w:val="0"/>
        <w:jc w:val="both"/>
      </w:pPr>
      <w:r w:rsidRPr="002E2BE8">
        <w:lastRenderedPageBreak/>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bookmarkEnd w:id="250"/>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 xml:space="preserve">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w:t>
      </w:r>
      <w:r>
        <w:lastRenderedPageBreak/>
        <w:t>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EA78E1" w:rsidRDefault="00B13CF5" w:rsidP="008173CB">
      <w:pPr>
        <w:pStyle w:val="af8"/>
        <w:numPr>
          <w:ilvl w:val="2"/>
          <w:numId w:val="46"/>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xml:space="preserve">, содержащем </w:t>
            </w:r>
            <w:r w:rsidRPr="004C13B2">
              <w:rPr>
                <w:snapToGrid w:val="0"/>
                <w:sz w:val="16"/>
                <w:szCs w:val="16"/>
              </w:rPr>
              <w:lastRenderedPageBreak/>
              <w:t>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Предоставляется копия с оригинала, выданного </w:t>
            </w:r>
            <w:r w:rsidRPr="008F19B8">
              <w:rPr>
                <w:snapToGrid w:val="0"/>
                <w:sz w:val="16"/>
                <w:szCs w:val="16"/>
              </w:rPr>
              <w:lastRenderedPageBreak/>
              <w:t>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snapToGrid w:val="0"/>
                <w:color w:val="FF0000"/>
                <w:sz w:val="16"/>
                <w:szCs w:val="16"/>
              </w:rPr>
              <w:lastRenderedPageBreak/>
              <w:t>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xml:space="preserve">, сдающие отчетность в ИФНС России в электронном виде, совместно с заверенными копиями вышеназванных форм и квитанций об их приеме (вводе) в ИФНС, </w:t>
            </w:r>
            <w:r w:rsidRPr="00066461">
              <w:rPr>
                <w:snapToGrid w:val="0"/>
                <w:sz w:val="16"/>
                <w:szCs w:val="16"/>
              </w:rPr>
              <w:lastRenderedPageBreak/>
              <w:t>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lastRenderedPageBreak/>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lastRenderedPageBreak/>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311F5E">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311F5E" w:rsidP="00311F5E">
            <w:pPr>
              <w:spacing w:after="60"/>
              <w:jc w:val="both"/>
              <w:rPr>
                <w:snapToGrid w:val="0"/>
                <w:color w:val="000000"/>
                <w:sz w:val="16"/>
                <w:szCs w:val="16"/>
              </w:rPr>
            </w:pPr>
            <w:hyperlink r:id="rId18" w:history="1">
              <w:r w:rsidR="00B403BB" w:rsidRPr="00A437F1">
                <w:rPr>
                  <w:rStyle w:val="ac"/>
                  <w:snapToGrid w:val="0"/>
                  <w:sz w:val="16"/>
                  <w:szCs w:val="16"/>
                </w:rPr>
                <w:t>https://rmsp.nalog.ru/search.html</w:t>
              </w:r>
            </w:hyperlink>
          </w:p>
          <w:p w:rsidR="00B403BB" w:rsidRDefault="00B403BB" w:rsidP="00311F5E">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311F5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311F5E">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311F5E">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311F5E">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311F5E">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 xml:space="preserve">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w:t>
            </w:r>
            <w:r w:rsidRPr="00120353">
              <w:rPr>
                <w:snapToGrid w:val="0"/>
                <w:color w:val="000000"/>
                <w:sz w:val="16"/>
                <w:szCs w:val="16"/>
              </w:rPr>
              <w:lastRenderedPageBreak/>
              <w:t>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 xml:space="preserve">который является </w:t>
            </w:r>
            <w:r w:rsidRPr="00120353">
              <w:rPr>
                <w:bCs/>
                <w:i/>
                <w:color w:val="000000"/>
                <w:sz w:val="16"/>
                <w:szCs w:val="16"/>
              </w:rPr>
              <w:lastRenderedPageBreak/>
              <w:t>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E91851">
        <w:t>6.3.1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w:t>
      </w:r>
      <w:r>
        <w:lastRenderedPageBreak/>
        <w:t>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E91851">
        <w:t>6.5.2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7A6FE6" w:rsidRPr="002E2BE8" w:rsidRDefault="007A6FE6" w:rsidP="008173CB">
      <w:pPr>
        <w:pStyle w:val="af8"/>
        <w:numPr>
          <w:ilvl w:val="2"/>
          <w:numId w:val="46"/>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6"/>
    </w:p>
    <w:p w:rsidR="007A6FE6" w:rsidRPr="002E2BE8" w:rsidRDefault="007A6FE6" w:rsidP="008173CB">
      <w:pPr>
        <w:pStyle w:val="af8"/>
        <w:numPr>
          <w:ilvl w:val="2"/>
          <w:numId w:val="46"/>
        </w:numPr>
        <w:ind w:left="1134" w:hanging="1134"/>
        <w:contextualSpacing w:val="0"/>
        <w:jc w:val="both"/>
      </w:pPr>
      <w:bookmarkStart w:id="267"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w:t>
      </w:r>
      <w:r w:rsidRPr="002C1E59">
        <w:lastRenderedPageBreak/>
        <w:t>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 xml:space="preserve">предоставления обоснования возможности </w:t>
      </w:r>
      <w:r w:rsidR="003F2E03" w:rsidRPr="003F2E03">
        <w:lastRenderedPageBreak/>
        <w:t>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w:t>
      </w:r>
      <w:r w:rsidR="003479BC" w:rsidRPr="00343A81">
        <w:lastRenderedPageBreak/>
        <w:t>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0" w:name="_Toc422210041"/>
      <w:bookmarkStart w:id="281" w:name="_Toc422226861"/>
      <w:bookmarkStart w:id="282" w:name="_Toc422244213"/>
      <w:r>
        <w:rPr>
          <w:b/>
        </w:rPr>
        <w:t>Альтернативные предложения</w:t>
      </w:r>
      <w:bookmarkEnd w:id="280"/>
      <w:bookmarkEnd w:id="281"/>
      <w:bookmarkEnd w:id="282"/>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 xml:space="preserve">При значительном объеме альтернативное предложение может быть </w:t>
      </w:r>
      <w:r w:rsidRPr="00343A81">
        <w:lastRenderedPageBreak/>
        <w:t>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w:t>
      </w:r>
      <w:r w:rsidRPr="000A05D0">
        <w:lastRenderedPageBreak/>
        <w:t xml:space="preserve">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4A6AA0" w:rsidRDefault="004A6AA0" w:rsidP="004A6AA0">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8"/>
    </w:p>
    <w:p w:rsidR="00830718" w:rsidRPr="00830718" w:rsidRDefault="00830718" w:rsidP="0003284E">
      <w:pPr>
        <w:jc w:val="right"/>
      </w:pPr>
    </w:p>
    <w:p w:rsidR="004A6AA0" w:rsidRPr="005E632E" w:rsidRDefault="004A6AA0" w:rsidP="004A6AA0">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9"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9"/>
    </w:p>
    <w:p w:rsidR="00830718" w:rsidRPr="00830718" w:rsidRDefault="00830718" w:rsidP="0003284E">
      <w:pPr>
        <w:jc w:val="right"/>
      </w:pPr>
    </w:p>
    <w:p w:rsidR="004A6AA0" w:rsidRPr="00A5170E" w:rsidRDefault="004A6AA0" w:rsidP="004A6AA0">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0"/>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E91851">
        <w:rPr>
          <w:b/>
          <w:noProof/>
        </w:rPr>
        <w:t>1</w:t>
      </w:r>
      <w:r w:rsidRPr="00297AA2">
        <w:rPr>
          <w:b/>
        </w:rPr>
        <w:fldChar w:fldCharType="end"/>
      </w:r>
      <w:r w:rsidRPr="00297AA2">
        <w:rPr>
          <w:b/>
        </w:rPr>
        <w:t>)</w:t>
      </w:r>
      <w:bookmarkEnd w:id="298"/>
    </w:p>
    <w:p w:rsidR="00297AA2" w:rsidRPr="00297AA2" w:rsidRDefault="00297AA2" w:rsidP="008173CB">
      <w:pPr>
        <w:numPr>
          <w:ilvl w:val="2"/>
          <w:numId w:val="47"/>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1" w:name="_Toc422244222"/>
      <w:r w:rsidRPr="00297AA2">
        <w:rPr>
          <w:b/>
        </w:rPr>
        <w:lastRenderedPageBreak/>
        <w:t>Инструкции по заполнению</w:t>
      </w:r>
      <w:bookmarkEnd w:id="301"/>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8" w:name="_Toc422244229"/>
      <w:r w:rsidRPr="00DF4F05">
        <w:t>Форма коммерческого предложения на поставку товаров</w:t>
      </w:r>
      <w:bookmarkEnd w:id="308"/>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09" w:name="_Toc422244230"/>
      <w:r w:rsidRPr="002C64A4">
        <w:rPr>
          <w:b/>
        </w:rPr>
        <w:lastRenderedPageBreak/>
        <w:t>Инструкции по заполнению</w:t>
      </w:r>
      <w:bookmarkEnd w:id="309"/>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0" w:name="_Toc422244231"/>
      <w:r w:rsidRPr="00DF4F05">
        <w:lastRenderedPageBreak/>
        <w:t xml:space="preserve"> Приложение №1 к форме Коммерческого предложения на поставку товаров</w:t>
      </w:r>
      <w:bookmarkEnd w:id="310"/>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1"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1"/>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2"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3" w:name="_Toc422244234"/>
      <w:r w:rsidRPr="00297AA2">
        <w:t>10.4.1 Форма сводной таблицы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4" w:name="_Toc422244235"/>
      <w:r w:rsidRPr="00297AA2">
        <w:lastRenderedPageBreak/>
        <w:t>10.4.1.1 Приложение №1 к форме сводной таблице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5" w:name="_Toc422244236"/>
      <w:r w:rsidRPr="00297AA2">
        <w:rPr>
          <w:b/>
        </w:rPr>
        <w:lastRenderedPageBreak/>
        <w:t>10.4.2 Инструкции по заполнению</w:t>
      </w:r>
      <w:bookmarkEnd w:id="315"/>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6" w:name="_Toc422244238"/>
      <w:r w:rsidRPr="00297AA2">
        <w:t>10.5.1 Форма Протокола разногласий к проекту Договора</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7" w:name="_Toc422244239"/>
      <w:r w:rsidRPr="00297AA2">
        <w:rPr>
          <w:b/>
        </w:rPr>
        <w:lastRenderedPageBreak/>
        <w:t>10.5.2 Инструкции по заполнению Протокола разногласий к проекту Договора</w:t>
      </w:r>
      <w:bookmarkEnd w:id="317"/>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0"/>
      <w:r w:rsidRPr="00297AA2">
        <w:rPr>
          <w:b/>
        </w:rPr>
        <w:lastRenderedPageBreak/>
        <w:t>10.6 Календарный план (форма 6)</w:t>
      </w:r>
      <w:bookmarkEnd w:id="318"/>
    </w:p>
    <w:p w:rsidR="00297AA2" w:rsidRPr="00297AA2" w:rsidRDefault="00297AA2" w:rsidP="00297AA2">
      <w:pPr>
        <w:spacing w:before="60" w:after="60"/>
        <w:jc w:val="both"/>
        <w:outlineLvl w:val="1"/>
      </w:pPr>
      <w:bookmarkStart w:id="319" w:name="_Toc422244241"/>
      <w:r w:rsidRPr="00297AA2">
        <w:t>10.6.1 Форма календарного плана</w:t>
      </w:r>
      <w:bookmarkEnd w:id="319"/>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0" w:name="_Toc422244242"/>
      <w:r w:rsidRPr="00297AA2">
        <w:rPr>
          <w:b/>
        </w:rPr>
        <w:lastRenderedPageBreak/>
        <w:t>10.6.2 Инструкции по заполнению</w:t>
      </w:r>
      <w:bookmarkEnd w:id="320"/>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1"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1"/>
    </w:p>
    <w:p w:rsidR="00297AA2" w:rsidRPr="00297AA2" w:rsidRDefault="00297AA2" w:rsidP="00297AA2">
      <w:pPr>
        <w:spacing w:before="60" w:after="60"/>
        <w:jc w:val="both"/>
        <w:outlineLvl w:val="1"/>
      </w:pPr>
      <w:bookmarkStart w:id="322" w:name="_Toc422244244"/>
      <w:r w:rsidRPr="00297AA2">
        <w:t>10.7.1 Форма графика оплаты</w:t>
      </w:r>
      <w:bookmarkEnd w:id="322"/>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3"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311F5E">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4" w:name="_Toc422244245"/>
      <w:bookmarkStart w:id="325" w:name="_Toc425352024"/>
      <w:bookmarkStart w:id="326" w:name="_Toc425411400"/>
      <w:bookmarkStart w:id="327" w:name="_Toc425433770"/>
      <w:r w:rsidRPr="00035E3B">
        <w:rPr>
          <w:b/>
        </w:rPr>
        <w:lastRenderedPageBreak/>
        <w:t>10.7.2Инструкции по заполнению</w:t>
      </w:r>
      <w:bookmarkEnd w:id="324"/>
      <w:bookmarkEnd w:id="325"/>
      <w:bookmarkEnd w:id="326"/>
      <w:bookmarkEnd w:id="327"/>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311F5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311F5E">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311F5E">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311F5E">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3"/>
    </w:p>
    <w:p w:rsidR="00297AA2" w:rsidRPr="00297AA2" w:rsidRDefault="00297AA2" w:rsidP="00297AA2">
      <w:pPr>
        <w:spacing w:before="60" w:after="60"/>
        <w:jc w:val="both"/>
        <w:outlineLvl w:val="1"/>
      </w:pPr>
      <w:bookmarkStart w:id="328" w:name="_Toc422244247"/>
      <w:r w:rsidRPr="00297AA2">
        <w:t>10.8.1 Форма Анкеты Потенциального участника закупки</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9" w:name="_Toc422244248"/>
      <w:r w:rsidRPr="00297AA2">
        <w:rPr>
          <w:b/>
        </w:rPr>
        <w:lastRenderedPageBreak/>
        <w:t>10.8.2 Инструкции по заполнению</w:t>
      </w:r>
      <w:bookmarkEnd w:id="329"/>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49"/>
      <w:r w:rsidRPr="00297AA2">
        <w:rPr>
          <w:b/>
        </w:rPr>
        <w:lastRenderedPageBreak/>
        <w:t>10.9 Справка о перечне и годовых объемах выполнения аналогичных договоров (форма 9)</w:t>
      </w:r>
      <w:bookmarkEnd w:id="330"/>
    </w:p>
    <w:p w:rsidR="00297AA2" w:rsidRPr="00297AA2" w:rsidRDefault="00297AA2" w:rsidP="00297AA2">
      <w:pPr>
        <w:spacing w:before="60" w:after="60"/>
        <w:jc w:val="both"/>
        <w:outlineLvl w:val="1"/>
      </w:pPr>
      <w:bookmarkStart w:id="331" w:name="_Toc422244250"/>
      <w:r w:rsidRPr="00297AA2">
        <w:t>10.9.1 Форма Справки о перечне и годовых объемах выполнения аналогичных договоров</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51"/>
      <w:r w:rsidRPr="00297AA2">
        <w:rPr>
          <w:b/>
        </w:rPr>
        <w:lastRenderedPageBreak/>
        <w:t>10.9.2 Инструкции по заполнению</w:t>
      </w:r>
      <w:bookmarkEnd w:id="332"/>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3"/>
    </w:p>
    <w:p w:rsidR="00297AA2" w:rsidRPr="00297AA2" w:rsidRDefault="00297AA2" w:rsidP="00297AA2">
      <w:pPr>
        <w:spacing w:before="60" w:after="60"/>
        <w:jc w:val="both"/>
        <w:outlineLvl w:val="1"/>
      </w:pPr>
      <w:bookmarkStart w:id="334" w:name="_Toc422244253"/>
      <w:r w:rsidRPr="00297AA2">
        <w:t>10.10.1 Форма Справки о материально-технических ресурсах</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54"/>
      <w:r w:rsidRPr="00297AA2">
        <w:rPr>
          <w:b/>
        </w:rPr>
        <w:lastRenderedPageBreak/>
        <w:t>10.10.2 Инструкции по заполнению</w:t>
      </w:r>
      <w:bookmarkEnd w:id="335"/>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6" w:name="_Toc422244255"/>
      <w:r w:rsidRPr="00297AA2">
        <w:rPr>
          <w:b/>
        </w:rPr>
        <w:lastRenderedPageBreak/>
        <w:t>10.11 Справ</w:t>
      </w:r>
      <w:r w:rsidR="007F5C8D">
        <w:rPr>
          <w:b/>
        </w:rPr>
        <w:t>ка о кадровых ресурсах (форма 11</w:t>
      </w:r>
      <w:r w:rsidRPr="00297AA2">
        <w:rPr>
          <w:b/>
        </w:rPr>
        <w:t>)</w:t>
      </w:r>
      <w:bookmarkEnd w:id="336"/>
    </w:p>
    <w:p w:rsidR="00297AA2" w:rsidRPr="00297AA2" w:rsidRDefault="00297AA2" w:rsidP="00297AA2">
      <w:pPr>
        <w:spacing w:before="60" w:after="60"/>
        <w:jc w:val="both"/>
        <w:outlineLvl w:val="1"/>
      </w:pPr>
      <w:bookmarkStart w:id="337" w:name="_Toc422244256"/>
      <w:r w:rsidRPr="00297AA2">
        <w:t>10.11.1 .Форма Справки о кадровых ресурсах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8"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8"/>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9"/>
    </w:p>
    <w:p w:rsidR="00297AA2" w:rsidRPr="00297AA2" w:rsidRDefault="00297AA2" w:rsidP="00297AA2">
      <w:pPr>
        <w:spacing w:before="60" w:after="60"/>
        <w:jc w:val="both"/>
        <w:outlineLvl w:val="1"/>
      </w:pPr>
      <w:bookmarkStart w:id="340"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1" w:name="_Toc422244260"/>
      <w:r w:rsidRPr="00297AA2">
        <w:rPr>
          <w:b/>
        </w:rPr>
        <w:lastRenderedPageBreak/>
        <w:t>10.12.2 Инструкции по заполнению</w:t>
      </w:r>
      <w:bookmarkEnd w:id="341"/>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61"/>
      <w:r w:rsidRPr="00297AA2">
        <w:rPr>
          <w:b/>
        </w:rPr>
        <w:lastRenderedPageBreak/>
        <w:t>10.13 Опись документов, содержащихся в заявке на участие в закупке (форма 13)</w:t>
      </w:r>
      <w:bookmarkEnd w:id="342"/>
    </w:p>
    <w:p w:rsidR="00297AA2" w:rsidRPr="00297AA2" w:rsidRDefault="00297AA2" w:rsidP="00297AA2">
      <w:pPr>
        <w:spacing w:before="60" w:after="60"/>
        <w:jc w:val="both"/>
        <w:outlineLvl w:val="1"/>
      </w:pPr>
      <w:bookmarkStart w:id="343" w:name="_Toc422244262"/>
      <w:r w:rsidRPr="00297AA2">
        <w:t>10.13.1 Форма описи документов, содержащихся в заявке на участие в закупке</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4" w:name="_Toc422244263"/>
      <w:r w:rsidRPr="00297AA2">
        <w:rPr>
          <w:b/>
        </w:rPr>
        <w:lastRenderedPageBreak/>
        <w:t>10.13.2 Инструкции по заполнению</w:t>
      </w:r>
      <w:bookmarkEnd w:id="344"/>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64"/>
      <w:r w:rsidRPr="00297AA2">
        <w:rPr>
          <w:b/>
        </w:rPr>
        <w:lastRenderedPageBreak/>
        <w:t>10.14 Справка об участии в судебных разбирательствах (форма 14)</w:t>
      </w:r>
      <w:bookmarkEnd w:id="345"/>
    </w:p>
    <w:p w:rsidR="00297AA2" w:rsidRPr="00297AA2" w:rsidRDefault="00297AA2" w:rsidP="00297AA2">
      <w:pPr>
        <w:spacing w:before="60" w:after="60"/>
        <w:jc w:val="both"/>
        <w:outlineLvl w:val="1"/>
      </w:pPr>
      <w:bookmarkStart w:id="346" w:name="_Toc422244265"/>
      <w:r w:rsidRPr="00297AA2">
        <w:t>10.14.1 Форма справки об участии в судебных разбирательствах</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7"/>
            <w:r w:rsidRPr="00297AA2">
              <w:rPr>
                <w:sz w:val="22"/>
                <w:szCs w:val="22"/>
              </w:rPr>
              <w:t>Наименование суда</w:t>
            </w:r>
            <w:bookmarkEnd w:id="34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8"/>
            <w:r w:rsidRPr="00297AA2">
              <w:rPr>
                <w:sz w:val="22"/>
                <w:szCs w:val="22"/>
              </w:rPr>
              <w:t>Предмет и цена иска (в рублях)</w:t>
            </w:r>
            <w:bookmarkEnd w:id="34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9"/>
            <w:r w:rsidRPr="00297AA2">
              <w:rPr>
                <w:sz w:val="22"/>
                <w:szCs w:val="22"/>
              </w:rPr>
              <w:t>Решение суда и дата вступления решения в законную силу</w:t>
            </w:r>
            <w:bookmarkEnd w:id="35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1" w:name="_Toc422244270"/>
            <w:r w:rsidRPr="00297AA2">
              <w:rPr>
                <w:sz w:val="22"/>
                <w:szCs w:val="22"/>
              </w:rPr>
              <w:t>Форма процессуального участия Потенциального участника закупки (истец, ответчик, третье лицо)</w:t>
            </w:r>
            <w:bookmarkEnd w:id="35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2" w:name="_Toc422244271"/>
            <w:r w:rsidRPr="00297AA2">
              <w:rPr>
                <w:sz w:val="22"/>
                <w:szCs w:val="22"/>
              </w:rPr>
              <w:t>Полное наименование других сторон с указанием их формы процессуального участия</w:t>
            </w:r>
            <w:bookmarkEnd w:id="352"/>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2"/>
            <w:r w:rsidRPr="00297AA2">
              <w:rPr>
                <w:i/>
                <w:sz w:val="18"/>
                <w:szCs w:val="18"/>
                <w:lang w:val="en-US"/>
              </w:rPr>
              <w:t>1</w:t>
            </w:r>
            <w:bookmarkEnd w:id="35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3"/>
            <w:r w:rsidRPr="00297AA2">
              <w:rPr>
                <w:i/>
                <w:sz w:val="18"/>
                <w:szCs w:val="18"/>
                <w:lang w:val="en-US"/>
              </w:rPr>
              <w:t>2</w:t>
            </w:r>
            <w:bookmarkEnd w:id="35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4"/>
            <w:r w:rsidRPr="00297AA2">
              <w:rPr>
                <w:i/>
                <w:sz w:val="18"/>
                <w:szCs w:val="18"/>
                <w:lang w:val="en-US"/>
              </w:rPr>
              <w:t>3</w:t>
            </w:r>
            <w:bookmarkEnd w:id="35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5"/>
            <w:r w:rsidRPr="00297AA2">
              <w:rPr>
                <w:i/>
                <w:sz w:val="18"/>
                <w:szCs w:val="18"/>
                <w:lang w:val="en-US"/>
              </w:rPr>
              <w:t>4</w:t>
            </w:r>
            <w:bookmarkEnd w:id="35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7" w:name="_Toc422244276"/>
            <w:r w:rsidRPr="00297AA2">
              <w:rPr>
                <w:i/>
                <w:sz w:val="18"/>
                <w:szCs w:val="18"/>
                <w:lang w:val="en-US"/>
              </w:rPr>
              <w:t>5</w:t>
            </w:r>
            <w:bookmarkEnd w:id="35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8" w:name="_Toc422244277"/>
            <w:r w:rsidRPr="00297AA2">
              <w:rPr>
                <w:i/>
                <w:sz w:val="18"/>
                <w:szCs w:val="18"/>
                <w:lang w:val="en-US"/>
              </w:rPr>
              <w:t>6</w:t>
            </w:r>
            <w:bookmarkEnd w:id="358"/>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9" w:name="_Toc422244278"/>
      <w:r w:rsidRPr="00297AA2">
        <w:rPr>
          <w:b/>
        </w:rPr>
        <w:lastRenderedPageBreak/>
        <w:t>10.14.2 Инструкции по заполнению</w:t>
      </w:r>
      <w:bookmarkEnd w:id="359"/>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0"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0"/>
    </w:p>
    <w:p w:rsidR="00297AA2" w:rsidRPr="00297AA2" w:rsidRDefault="00297AA2" w:rsidP="00297AA2">
      <w:pPr>
        <w:spacing w:before="60" w:after="60"/>
        <w:jc w:val="both"/>
        <w:outlineLvl w:val="1"/>
      </w:pPr>
      <w:bookmarkStart w:id="361" w:name="_Toc422244280"/>
      <w:r w:rsidRPr="00297AA2">
        <w:t>10.15.1 Форма гарантийного письма на предоставление сведений о цепочке собственников</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2" w:name="_Toc422244281"/>
            <w:r w:rsidRPr="00297AA2">
              <w:rPr>
                <w:b/>
                <w:iCs/>
                <w:snapToGrid w:val="0"/>
                <w:color w:val="943634"/>
              </w:rPr>
              <w:t>БЛАНК ПОТЕНЦИАЛЬНОГО УЧАСТНИКА</w:t>
            </w:r>
            <w:bookmarkEnd w:id="362"/>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9"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3"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3"/>
    </w:p>
    <w:p w:rsidR="00297AA2" w:rsidRPr="00297AA2" w:rsidRDefault="00297AA2" w:rsidP="00297AA2">
      <w:pPr>
        <w:spacing w:before="60" w:after="60"/>
        <w:jc w:val="both"/>
        <w:outlineLvl w:val="1"/>
      </w:pPr>
      <w:bookmarkStart w:id="364" w:name="_Toc422244289"/>
      <w:r w:rsidRPr="00297AA2">
        <w:t>10.1</w:t>
      </w:r>
      <w:r w:rsidR="00E23C22">
        <w:t>8</w:t>
      </w:r>
      <w:r w:rsidRPr="00297AA2">
        <w:t>.1 Форма банковской гарантии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w:t>
      </w:r>
      <w:r w:rsidR="004A6AA0">
        <w:t>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5"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5"/>
    </w:p>
    <w:p w:rsidR="00297AA2" w:rsidRPr="00297AA2" w:rsidRDefault="00297AA2" w:rsidP="00297AA2">
      <w:pPr>
        <w:spacing w:before="60" w:after="60"/>
        <w:jc w:val="both"/>
        <w:outlineLvl w:val="1"/>
      </w:pPr>
      <w:bookmarkStart w:id="366"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7"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7"/>
    </w:p>
    <w:p w:rsidR="00297AA2" w:rsidRPr="00297AA2" w:rsidRDefault="00297AA2" w:rsidP="002C64A4">
      <w:pPr>
        <w:spacing w:before="60" w:after="60"/>
        <w:jc w:val="both"/>
        <w:outlineLvl w:val="1"/>
      </w:pPr>
      <w:bookmarkStart w:id="368" w:name="_Toc422244293"/>
      <w:r w:rsidRPr="00297AA2">
        <w:t>10.2</w:t>
      </w:r>
      <w:r w:rsidR="00E23C22">
        <w:t>0</w:t>
      </w:r>
      <w:r w:rsidRPr="00297AA2">
        <w:t>.1 Форма банковской гарантии</w:t>
      </w:r>
      <w:bookmarkEnd w:id="368"/>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4A6AA0">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9"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9"/>
    </w:p>
    <w:p w:rsidR="00297AA2" w:rsidRPr="00297AA2" w:rsidRDefault="00297AA2" w:rsidP="002C64A4">
      <w:pPr>
        <w:spacing w:before="60" w:after="60"/>
        <w:jc w:val="both"/>
        <w:outlineLvl w:val="1"/>
      </w:pPr>
      <w:bookmarkStart w:id="370" w:name="_Toc422244295"/>
      <w:r w:rsidRPr="00297AA2">
        <w:t>10.2</w:t>
      </w:r>
      <w:r w:rsidR="00E23C22">
        <w:t>1</w:t>
      </w:r>
      <w:r w:rsidRPr="00297AA2">
        <w:t>.1 Форма акта приемки Банковской гарантии</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1"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1"/>
    </w:p>
    <w:p w:rsidR="00297AA2" w:rsidRPr="00297AA2" w:rsidRDefault="00297AA2" w:rsidP="002C64A4">
      <w:pPr>
        <w:spacing w:before="60" w:after="60"/>
        <w:jc w:val="both"/>
        <w:outlineLvl w:val="1"/>
      </w:pPr>
      <w:bookmarkStart w:id="372" w:name="_Toc422244297"/>
      <w:r w:rsidRPr="00297AA2">
        <w:t>10.2</w:t>
      </w:r>
      <w:r w:rsidR="00E23C22">
        <w:t>2</w:t>
      </w:r>
      <w:r w:rsidRPr="00297AA2">
        <w:t>.1 Форма справки о цепочке собственников компании</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3"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3"/>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4"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4A6AA0" w:rsidRPr="00297AA2" w:rsidRDefault="004A6AA0" w:rsidP="004A6AA0">
      <w:pPr>
        <w:widowControl/>
        <w:numPr>
          <w:ilvl w:val="0"/>
          <w:numId w:val="35"/>
        </w:numPr>
        <w:autoSpaceDE/>
        <w:autoSpaceDN/>
        <w:adjustRightInd/>
        <w:spacing w:after="200" w:line="276" w:lineRule="auto"/>
        <w:ind w:left="1418" w:hanging="567"/>
        <w:contextualSpacing/>
        <w:jc w:val="both"/>
      </w:pPr>
      <w:proofErr w:type="gramStart"/>
      <w:r w:rsidRPr="006216C6">
        <w:rPr>
          <w:rFonts w:eastAsia="Calibri"/>
        </w:rPr>
        <w:t>Публичное акционерное общество «</w:t>
      </w:r>
      <w:proofErr w:type="spellStart"/>
      <w:r>
        <w:rPr>
          <w:rFonts w:eastAsia="Calibri"/>
        </w:rPr>
        <w:t>Томскэнергосбыт</w:t>
      </w:r>
      <w:proofErr w:type="spellEnd"/>
      <w:r>
        <w:rPr>
          <w:rFonts w:eastAsia="Calibri"/>
        </w:rPr>
        <w:t>»</w:t>
      </w:r>
      <w:r w:rsidRPr="006216C6">
        <w:rPr>
          <w:rFonts w:eastAsia="Calibri"/>
        </w:rPr>
        <w:t xml:space="preserve"> </w:t>
      </w:r>
      <w:r>
        <w:rPr>
          <w:rFonts w:eastAsia="Calibri"/>
        </w:rPr>
        <w:t>(634034</w:t>
      </w:r>
      <w:r w:rsidRPr="006216C6">
        <w:rPr>
          <w:rFonts w:eastAsia="Calibri"/>
        </w:rPr>
        <w:t>г.</w:t>
      </w:r>
      <w:proofErr w:type="gramEnd"/>
      <w:r w:rsidRPr="006216C6">
        <w:rPr>
          <w:rFonts w:eastAsia="Calibri"/>
        </w:rPr>
        <w:t xml:space="preserve"> </w:t>
      </w:r>
      <w:proofErr w:type="gramStart"/>
      <w:r w:rsidRPr="006216C6">
        <w:rPr>
          <w:rFonts w:eastAsia="Calibri"/>
        </w:rPr>
        <w:t>Томск, ул. Котовского, 19</w:t>
      </w:r>
      <w:r>
        <w:rPr>
          <w:rFonts w:eastAsia="Calibri"/>
        </w:rPr>
        <w:t>)</w:t>
      </w:r>
      <w:r w:rsidRPr="00297AA2">
        <w:t>;</w:t>
      </w:r>
      <w:proofErr w:type="gramEnd"/>
    </w:p>
    <w:p w:rsidR="00297AA2" w:rsidRPr="00297AA2" w:rsidRDefault="00323574" w:rsidP="008173CB">
      <w:pPr>
        <w:widowControl/>
        <w:numPr>
          <w:ilvl w:val="0"/>
          <w:numId w:val="35"/>
        </w:numPr>
        <w:autoSpaceDE/>
        <w:autoSpaceDN/>
        <w:adjustRightInd/>
        <w:ind w:left="1418" w:hanging="567"/>
        <w:contextualSpacing/>
        <w:jc w:val="both"/>
      </w:pPr>
      <w:bookmarkStart w:id="375" w:name="_GoBack"/>
      <w:bookmarkEnd w:id="375"/>
      <w:r w:rsidRPr="0032357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0"/>
          <w:headerReference w:type="default" r:id="rId21"/>
          <w:footerReference w:type="even" r:id="rId22"/>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1"/>
    <w:bookmarkEnd w:id="292"/>
    <w:bookmarkEnd w:id="293"/>
    <w:bookmarkEnd w:id="294"/>
    <w:bookmarkEnd w:id="295"/>
    <w:bookmarkEnd w:id="296"/>
    <w:bookmarkEnd w:id="297"/>
    <w:p w:rsidR="00297AA2" w:rsidRPr="00297AA2" w:rsidRDefault="00297AA2" w:rsidP="00297AA2">
      <w:pPr>
        <w:suppressAutoHyphens/>
        <w:ind w:left="1418"/>
        <w:rPr>
          <w:i/>
        </w:rPr>
      </w:pPr>
    </w:p>
    <w:sectPr w:rsidR="00297AA2" w:rsidRPr="00297AA2" w:rsidSect="007D058C">
      <w:headerReference w:type="even" r:id="rId23"/>
      <w:headerReference w:type="default" r:id="rId24"/>
      <w:footerReference w:type="even" r:id="rId25"/>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083" w:rsidRDefault="008A1083" w:rsidP="00706E83">
      <w:r>
        <w:separator/>
      </w:r>
    </w:p>
  </w:endnote>
  <w:endnote w:type="continuationSeparator" w:id="0">
    <w:p w:rsidR="008A1083" w:rsidRDefault="008A1083" w:rsidP="00706E83">
      <w:r>
        <w:continuationSeparator/>
      </w:r>
    </w:p>
  </w:endnote>
  <w:endnote w:id="1">
    <w:p w:rsidR="008A1083" w:rsidRDefault="008A1083" w:rsidP="00730E95">
      <w:pPr>
        <w:pStyle w:val="afffb"/>
        <w:ind w:firstLine="567"/>
        <w:jc w:val="both"/>
      </w:pPr>
    </w:p>
  </w:endnote>
  <w:endnote w:id="2">
    <w:p w:rsidR="008A1083" w:rsidRDefault="008A1083" w:rsidP="00635200">
      <w:pPr>
        <w:pStyle w:val="afffb"/>
        <w:jc w:val="both"/>
      </w:pPr>
    </w:p>
  </w:endnote>
  <w:endnote w:id="3">
    <w:p w:rsidR="008A1083" w:rsidRDefault="008A1083"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af3"/>
    </w:pPr>
  </w:p>
  <w:p w:rsidR="008A1083" w:rsidRDefault="008A10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Pr="00311F5E" w:rsidRDefault="008A1083" w:rsidP="00311F5E">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поставку канцелярских товаров для нужд ПАО «</w:t>
    </w:r>
    <w:proofErr w:type="spellStart"/>
    <w:r>
      <w:rPr>
        <w:i/>
        <w:color w:val="548DD4" w:themeColor="text2" w:themeTint="99"/>
        <w:sz w:val="20"/>
        <w:szCs w:val="20"/>
      </w:rPr>
      <w:t>Томскэнергосбыт</w:t>
    </w:r>
    <w:proofErr w:type="spellEnd"/>
    <w:r>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af3"/>
    </w:pPr>
  </w:p>
  <w:p w:rsidR="008A1083" w:rsidRDefault="008A10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Pr="00BA6F70" w:rsidRDefault="008A1083"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Pr="00BA6F70" w:rsidRDefault="008A1083"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083" w:rsidRDefault="008A1083" w:rsidP="00706E83">
      <w:r>
        <w:separator/>
      </w:r>
    </w:p>
  </w:footnote>
  <w:footnote w:type="continuationSeparator" w:id="0">
    <w:p w:rsidR="008A1083" w:rsidRDefault="008A1083" w:rsidP="00706E83">
      <w:r>
        <w:continuationSeparator/>
      </w:r>
    </w:p>
  </w:footnote>
  <w:footnote w:id="1">
    <w:p w:rsidR="008A1083" w:rsidRDefault="008A1083"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A1083" w:rsidRDefault="008A1083" w:rsidP="00B403BB">
      <w:pPr>
        <w:pStyle w:val="afd"/>
      </w:pPr>
    </w:p>
  </w:footnote>
  <w:footnote w:id="2">
    <w:p w:rsidR="008A1083" w:rsidRDefault="008A1083"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A1083" w:rsidRDefault="008A1083" w:rsidP="00B403BB">
      <w:pPr>
        <w:pStyle w:val="afd"/>
      </w:pPr>
    </w:p>
  </w:footnote>
  <w:footnote w:id="3">
    <w:p w:rsidR="008A1083" w:rsidRDefault="008A1083"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A1083" w:rsidRDefault="008A1083"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A1083" w:rsidRDefault="008A1083"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A1083" w:rsidRDefault="008A1083" w:rsidP="006325CA">
      <w:pPr>
        <w:pStyle w:val="afd"/>
      </w:pPr>
    </w:p>
  </w:footnote>
  <w:footnote w:id="4">
    <w:p w:rsidR="008A1083" w:rsidRPr="00117D04" w:rsidRDefault="008A1083"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af1"/>
    </w:pPr>
  </w:p>
  <w:p w:rsidR="008A1083" w:rsidRDefault="008A10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af1"/>
    </w:pPr>
  </w:p>
  <w:p w:rsidR="008A1083" w:rsidRDefault="008A108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Pr="005B58D1" w:rsidRDefault="008A1083" w:rsidP="00766DD0">
    <w:pPr>
      <w:ind w:right="-283"/>
      <w:jc w:val="center"/>
      <w:rPr>
        <w:color w:val="17365D" w:themeColor="text2" w:themeShade="BF"/>
        <w:sz w:val="18"/>
        <w:szCs w:val="18"/>
      </w:rPr>
    </w:pPr>
    <w:r>
      <w:rPr>
        <w:noProof/>
      </w:rPr>
      <w:drawing>
        <wp:inline distT="0" distB="0" distL="0" distR="0" wp14:anchorId="61127489" wp14:editId="1C0D8ADB">
          <wp:extent cx="6116320" cy="1863090"/>
          <wp:effectExtent l="0" t="0" r="0" b="3810"/>
          <wp:docPr id="2" name="Рисунок 2"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8A1083" w:rsidRDefault="008A1083">
        <w:pPr>
          <w:pStyle w:val="af1"/>
          <w:jc w:val="right"/>
        </w:pPr>
        <w:r>
          <w:fldChar w:fldCharType="begin"/>
        </w:r>
        <w:r>
          <w:instrText>PAGE   \* MERGEFORMAT</w:instrText>
        </w:r>
        <w:r>
          <w:fldChar w:fldCharType="separate"/>
        </w:r>
        <w:r w:rsidR="004A6AA0">
          <w:rPr>
            <w:noProof/>
          </w:rPr>
          <w:t>123</w:t>
        </w:r>
        <w:r>
          <w:fldChar w:fldCharType="end"/>
        </w:r>
      </w:p>
    </w:sdtContent>
  </w:sdt>
  <w:p w:rsidR="008A1083" w:rsidRDefault="008A1083"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083" w:rsidRDefault="008A1083">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8A1083" w:rsidRDefault="008A1083">
        <w:pPr>
          <w:pStyle w:val="af1"/>
          <w:jc w:val="right"/>
        </w:pPr>
        <w:r>
          <w:fldChar w:fldCharType="begin"/>
        </w:r>
        <w:r>
          <w:instrText>PAGE   \* MERGEFORMAT</w:instrText>
        </w:r>
        <w:r>
          <w:fldChar w:fldCharType="separate"/>
        </w:r>
        <w:r w:rsidR="004A6AA0">
          <w:rPr>
            <w:noProof/>
          </w:rPr>
          <w:t>127</w:t>
        </w:r>
        <w:r>
          <w:fldChar w:fldCharType="end"/>
        </w:r>
      </w:p>
    </w:sdtContent>
  </w:sdt>
  <w:p w:rsidR="008A1083" w:rsidRDefault="008A10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1F5E"/>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A0"/>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868"/>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083"/>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03BB"/>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B1539-BE60-4BB5-9F01-61EA09894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127</Pages>
  <Words>32811</Words>
  <Characters>187029</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Вершинин Дмитрий Александрович</cp:lastModifiedBy>
  <cp:revision>94</cp:revision>
  <cp:lastPrinted>2015-07-16T07:20:00Z</cp:lastPrinted>
  <dcterms:created xsi:type="dcterms:W3CDTF">2015-09-28T06:57:00Z</dcterms:created>
  <dcterms:modified xsi:type="dcterms:W3CDTF">2017-02-03T10:00:00Z</dcterms:modified>
</cp:coreProperties>
</file>